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75DF6817"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F57EDD">
        <w:rPr>
          <w:rFonts w:ascii="Arial" w:hAnsi="Arial"/>
          <w:b/>
          <w:bCs/>
          <w:color w:val="000000" w:themeColor="text1"/>
          <w:sz w:val="29"/>
          <w:szCs w:val="29"/>
          <w:lang w:val="de-DE"/>
        </w:rPr>
        <w:t>Best Practice in der pflegerischen Ausbildung gesucht</w:t>
      </w:r>
      <w:r w:rsidR="00175140" w:rsidRPr="007F5175">
        <w:rPr>
          <w:rFonts w:ascii="Arial" w:hAnsi="Arial"/>
          <w:b/>
          <w:bCs/>
          <w:color w:val="000000" w:themeColor="text1"/>
          <w:sz w:val="29"/>
          <w:szCs w:val="29"/>
          <w:lang w:val="de-DE"/>
        </w:rPr>
        <w:br/>
      </w:r>
      <w:r w:rsidR="00F57EDD">
        <w:rPr>
          <w:rFonts w:ascii="Arial" w:hAnsi="Arial"/>
          <w:color w:val="000000" w:themeColor="text1"/>
          <w:sz w:val="24"/>
          <w:szCs w:val="24"/>
          <w:lang w:val="de-DE"/>
        </w:rPr>
        <w:t>FHV und connexia schreiben Award zur Entwicklung der Praxisanleitung aus</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5D22356E" w14:textId="29808159" w:rsidR="00175140"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Dornbirn</w:t>
      </w:r>
      <w:r w:rsidR="00A562D2">
        <w:rPr>
          <w:rFonts w:ascii="Arial" w:hAnsi="Arial"/>
          <w:i/>
          <w:iCs/>
          <w:lang w:val="de-AT"/>
        </w:rPr>
        <w:t xml:space="preserve">, 4. April 2024 </w:t>
      </w:r>
      <w:r w:rsidRPr="00BA52CE">
        <w:rPr>
          <w:rFonts w:ascii="Arial" w:hAnsi="Arial"/>
          <w:i/>
          <w:iCs/>
          <w:lang w:val="de-AT"/>
        </w:rPr>
        <w:t xml:space="preserve">– </w:t>
      </w:r>
      <w:r w:rsidR="00F57EDD">
        <w:rPr>
          <w:rFonts w:ascii="Arial" w:hAnsi="Arial"/>
          <w:i/>
          <w:iCs/>
          <w:lang w:val="de-AT"/>
        </w:rPr>
        <w:t xml:space="preserve">Zum zweiten Mal </w:t>
      </w:r>
      <w:r w:rsidR="008B221A">
        <w:rPr>
          <w:rFonts w:ascii="Arial" w:hAnsi="Arial"/>
          <w:i/>
          <w:iCs/>
          <w:lang w:val="de-AT"/>
        </w:rPr>
        <w:t>schreib</w:t>
      </w:r>
      <w:r w:rsidR="00854C64">
        <w:rPr>
          <w:rFonts w:ascii="Arial" w:hAnsi="Arial"/>
          <w:i/>
          <w:iCs/>
          <w:lang w:val="de-AT"/>
        </w:rPr>
        <w:t>en</w:t>
      </w:r>
      <w:r w:rsidR="00F57EDD">
        <w:rPr>
          <w:rFonts w:ascii="Arial" w:hAnsi="Arial"/>
          <w:i/>
          <w:iCs/>
          <w:lang w:val="de-AT"/>
        </w:rPr>
        <w:t xml:space="preserve"> die FHV – Vorarlberg University of Applied Sciences </w:t>
      </w:r>
      <w:r w:rsidR="00854C64">
        <w:rPr>
          <w:rFonts w:ascii="Arial" w:hAnsi="Arial"/>
          <w:i/>
          <w:iCs/>
          <w:lang w:val="de-AT"/>
        </w:rPr>
        <w:t>und</w:t>
      </w:r>
      <w:r w:rsidR="00F57EDD">
        <w:rPr>
          <w:rFonts w:ascii="Arial" w:hAnsi="Arial"/>
          <w:i/>
          <w:iCs/>
          <w:lang w:val="de-AT"/>
        </w:rPr>
        <w:t xml:space="preserve"> connexia </w:t>
      </w:r>
      <w:r w:rsidR="00F57EDD" w:rsidRPr="00F57EDD">
        <w:rPr>
          <w:rFonts w:ascii="Arial" w:hAnsi="Arial"/>
          <w:i/>
          <w:iCs/>
          <w:lang w:val="de-AT"/>
        </w:rPr>
        <w:t>–</w:t>
      </w:r>
      <w:r w:rsidR="00F57EDD">
        <w:rPr>
          <w:rFonts w:ascii="Arial" w:hAnsi="Arial"/>
          <w:i/>
          <w:iCs/>
          <w:lang w:val="de-AT"/>
        </w:rPr>
        <w:t xml:space="preserve"> </w:t>
      </w:r>
      <w:r w:rsidR="00F57EDD" w:rsidRPr="00F57EDD">
        <w:rPr>
          <w:rFonts w:ascii="Arial" w:hAnsi="Arial"/>
          <w:i/>
          <w:iCs/>
          <w:lang w:val="de-DE"/>
        </w:rPr>
        <w:t>Gesellschaft für Gesundheit und Pflege gGmbH</w:t>
      </w:r>
      <w:r w:rsidR="00F57EDD">
        <w:rPr>
          <w:rFonts w:ascii="Arial" w:hAnsi="Arial"/>
          <w:i/>
          <w:iCs/>
          <w:lang w:val="de-DE"/>
        </w:rPr>
        <w:t xml:space="preserve"> den Good Practice Award für die Praxisanleitung</w:t>
      </w:r>
      <w:r w:rsidR="008B221A">
        <w:rPr>
          <w:rFonts w:ascii="Arial" w:hAnsi="Arial"/>
          <w:i/>
          <w:iCs/>
          <w:lang w:val="de-DE"/>
        </w:rPr>
        <w:t xml:space="preserve"> aus</w:t>
      </w:r>
      <w:r w:rsidR="00F57EDD">
        <w:rPr>
          <w:rFonts w:ascii="Arial" w:hAnsi="Arial"/>
          <w:i/>
          <w:iCs/>
          <w:lang w:val="de-DE"/>
        </w:rPr>
        <w:t xml:space="preserve">. Einreichungen </w:t>
      </w:r>
      <w:r w:rsidR="008B221A">
        <w:rPr>
          <w:rFonts w:ascii="Arial" w:hAnsi="Arial"/>
          <w:i/>
          <w:iCs/>
          <w:lang w:val="de-DE"/>
        </w:rPr>
        <w:t xml:space="preserve">von Projekten und Konzepten </w:t>
      </w:r>
      <w:r w:rsidR="00F57EDD">
        <w:rPr>
          <w:rFonts w:ascii="Arial" w:hAnsi="Arial"/>
          <w:i/>
          <w:iCs/>
          <w:lang w:val="de-DE"/>
        </w:rPr>
        <w:t xml:space="preserve">sind bis </w:t>
      </w:r>
      <w:r w:rsidR="008B221A">
        <w:rPr>
          <w:rFonts w:ascii="Arial" w:hAnsi="Arial"/>
          <w:i/>
          <w:iCs/>
          <w:lang w:val="de-DE"/>
        </w:rPr>
        <w:t>zum 31. Mai 2024</w:t>
      </w:r>
      <w:r w:rsidR="00F57EDD">
        <w:rPr>
          <w:rFonts w:ascii="Arial" w:hAnsi="Arial"/>
          <w:i/>
          <w:iCs/>
          <w:lang w:val="de-DE"/>
        </w:rPr>
        <w:t xml:space="preserve"> möglich.</w:t>
      </w:r>
    </w:p>
    <w:p w14:paraId="3BE9A39A" w14:textId="77777777" w:rsidR="00DD79AE" w:rsidRPr="003B35D1" w:rsidRDefault="00DD79AE" w:rsidP="00DD79AE">
      <w:pPr>
        <w:widowControl w:val="0"/>
        <w:autoSpaceDE w:val="0"/>
        <w:autoSpaceDN w:val="0"/>
        <w:adjustRightInd w:val="0"/>
        <w:spacing w:line="276" w:lineRule="auto"/>
        <w:rPr>
          <w:rFonts w:ascii="Arial" w:hAnsi="Arial"/>
          <w:b/>
          <w:bCs/>
          <w:color w:val="000000"/>
          <w:lang w:val="de-AT"/>
        </w:rPr>
      </w:pPr>
    </w:p>
    <w:p w14:paraId="6199C008" w14:textId="00A2D530" w:rsidR="00A562D2" w:rsidRDefault="008B221A" w:rsidP="008B221A">
      <w:pPr>
        <w:rPr>
          <w:rFonts w:ascii="Arial" w:hAnsi="Arial"/>
          <w:color w:val="161615"/>
          <w:lang w:val="de-DE" w:eastAsia="de-DE"/>
        </w:rPr>
      </w:pPr>
      <w:r w:rsidRPr="003B35D1">
        <w:rPr>
          <w:rFonts w:ascii="Arial" w:hAnsi="Arial"/>
          <w:lang w:val="de-AT"/>
        </w:rPr>
        <w:t xml:space="preserve">Der zweite </w:t>
      </w:r>
      <w:r w:rsidR="00F57EDD" w:rsidRPr="00F57EDD">
        <w:rPr>
          <w:rFonts w:ascii="Arial" w:hAnsi="Arial"/>
          <w:color w:val="161615"/>
          <w:lang w:val="de-DE" w:eastAsia="de-DE"/>
        </w:rPr>
        <w:t xml:space="preserve">FHV/connexia Good Practice </w:t>
      </w:r>
      <w:r w:rsidR="00A562D2">
        <w:rPr>
          <w:rFonts w:ascii="Arial" w:hAnsi="Arial"/>
          <w:color w:val="161615"/>
          <w:lang w:val="de-DE" w:eastAsia="de-DE"/>
        </w:rPr>
        <w:t>Praxi</w:t>
      </w:r>
      <w:r w:rsidR="00BE2197">
        <w:rPr>
          <w:rFonts w:ascii="Arial" w:hAnsi="Arial"/>
          <w:color w:val="161615"/>
          <w:lang w:val="de-DE" w:eastAsia="de-DE"/>
        </w:rPr>
        <w:t>s</w:t>
      </w:r>
      <w:r w:rsidR="00A562D2">
        <w:rPr>
          <w:rFonts w:ascii="Arial" w:hAnsi="Arial"/>
          <w:color w:val="161615"/>
          <w:lang w:val="de-DE" w:eastAsia="de-DE"/>
        </w:rPr>
        <w:t>anleitung</w:t>
      </w:r>
      <w:r w:rsidR="00F57EDD" w:rsidRPr="00F57EDD">
        <w:rPr>
          <w:rFonts w:ascii="Arial" w:hAnsi="Arial"/>
          <w:color w:val="161615"/>
          <w:lang w:val="de-DE" w:eastAsia="de-DE"/>
        </w:rPr>
        <w:t xml:space="preserve"> Award wendet sich an Institutionen, die ihre Arbeit der Weiterentwicklung der pflegerischen Ausbildung in der Praxis widmen.</w:t>
      </w:r>
      <w:r w:rsidRPr="008B221A">
        <w:rPr>
          <w:rFonts w:ascii="Arial" w:hAnsi="Arial"/>
          <w:color w:val="161615"/>
          <w:lang w:val="de-DE" w:eastAsia="de-DE"/>
        </w:rPr>
        <w:t xml:space="preserve"> Noch bis </w:t>
      </w:r>
      <w:r w:rsidR="00854C64">
        <w:rPr>
          <w:rFonts w:ascii="Arial" w:hAnsi="Arial"/>
          <w:color w:val="161615"/>
          <w:lang w:val="de-DE" w:eastAsia="de-DE"/>
        </w:rPr>
        <w:t xml:space="preserve">zum </w:t>
      </w:r>
      <w:r w:rsidRPr="008B221A">
        <w:rPr>
          <w:rFonts w:ascii="Arial" w:hAnsi="Arial"/>
          <w:color w:val="161615"/>
          <w:lang w:val="de-DE" w:eastAsia="de-DE"/>
        </w:rPr>
        <w:t xml:space="preserve">31. Mai 2024 </w:t>
      </w:r>
      <w:r>
        <w:rPr>
          <w:rFonts w:ascii="Arial" w:hAnsi="Arial"/>
          <w:color w:val="161615"/>
          <w:lang w:val="de-DE" w:eastAsia="de-DE"/>
        </w:rPr>
        <w:t>ist die Einreichung von</w:t>
      </w:r>
      <w:r w:rsidRPr="008B221A">
        <w:rPr>
          <w:rFonts w:ascii="Arial" w:hAnsi="Arial"/>
          <w:color w:val="161615"/>
          <w:lang w:val="de-DE" w:eastAsia="de-DE"/>
        </w:rPr>
        <w:t xml:space="preserve"> Projekte</w:t>
      </w:r>
      <w:r>
        <w:rPr>
          <w:rFonts w:ascii="Arial" w:hAnsi="Arial"/>
          <w:color w:val="161615"/>
          <w:lang w:val="de-DE" w:eastAsia="de-DE"/>
        </w:rPr>
        <w:t>n</w:t>
      </w:r>
      <w:r w:rsidRPr="008B221A">
        <w:rPr>
          <w:rFonts w:ascii="Arial" w:hAnsi="Arial"/>
          <w:color w:val="161615"/>
          <w:lang w:val="de-DE" w:eastAsia="de-DE"/>
        </w:rPr>
        <w:t xml:space="preserve"> und Konzepte</w:t>
      </w:r>
      <w:r>
        <w:rPr>
          <w:rFonts w:ascii="Arial" w:hAnsi="Arial"/>
          <w:color w:val="161615"/>
          <w:lang w:val="de-DE" w:eastAsia="de-DE"/>
        </w:rPr>
        <w:t>n</w:t>
      </w:r>
      <w:r w:rsidRPr="008B221A">
        <w:rPr>
          <w:rFonts w:ascii="Arial" w:hAnsi="Arial"/>
          <w:color w:val="161615"/>
          <w:lang w:val="de-DE" w:eastAsia="de-DE"/>
        </w:rPr>
        <w:t xml:space="preserve"> </w:t>
      </w:r>
      <w:r>
        <w:rPr>
          <w:rFonts w:ascii="Arial" w:hAnsi="Arial"/>
          <w:color w:val="161615"/>
          <w:lang w:val="de-DE" w:eastAsia="de-DE"/>
        </w:rPr>
        <w:t>möglich.</w:t>
      </w:r>
      <w:r w:rsidRPr="008B221A">
        <w:rPr>
          <w:rFonts w:ascii="Arial" w:hAnsi="Arial"/>
          <w:color w:val="161615"/>
          <w:lang w:val="de-DE" w:eastAsia="de-DE"/>
        </w:rPr>
        <w:t xml:space="preserve"> </w:t>
      </w:r>
      <w:r w:rsidR="00B30CEA" w:rsidRPr="00B30CEA">
        <w:rPr>
          <w:rFonts w:ascii="Arial" w:hAnsi="Arial"/>
          <w:color w:val="161615"/>
          <w:lang w:val="de-DE" w:eastAsia="de-DE"/>
        </w:rPr>
        <w:t xml:space="preserve">Insgesamt wird eine Prämie von 2000 Euro ausgeschüttet. </w:t>
      </w:r>
      <w:r w:rsidR="009D5E8B">
        <w:rPr>
          <w:rFonts w:ascii="Arial" w:hAnsi="Arial"/>
          <w:color w:val="161615"/>
          <w:lang w:val="de-DE" w:eastAsia="de-DE"/>
        </w:rPr>
        <w:t xml:space="preserve">Praxisanleiter:innen sind für den Lernprozess von großer Bedeutung, da sie maßgeblich zur Handlungskompetenz der Auszubildenden beitragen. Die Themen der früheren Einreichungen sind breit gefächert. Diese reichen von </w:t>
      </w:r>
      <w:r w:rsidR="003B35D1" w:rsidRPr="00A562D2">
        <w:rPr>
          <w:rFonts w:ascii="Arial" w:hAnsi="Arial"/>
          <w:color w:val="161615"/>
          <w:lang w:val="de-DE" w:eastAsia="de-DE"/>
        </w:rPr>
        <w:t xml:space="preserve">der Einrichtung einer Schulstation in der Psychiatrie </w:t>
      </w:r>
      <w:r w:rsidR="009D5E8B" w:rsidRPr="00A562D2">
        <w:rPr>
          <w:rFonts w:ascii="Arial" w:hAnsi="Arial"/>
          <w:color w:val="161615"/>
          <w:lang w:val="de-DE" w:eastAsia="de-DE"/>
        </w:rPr>
        <w:t xml:space="preserve">bis </w:t>
      </w:r>
      <w:r w:rsidR="003B35D1" w:rsidRPr="00A562D2">
        <w:rPr>
          <w:rFonts w:ascii="Arial" w:hAnsi="Arial"/>
          <w:color w:val="161615"/>
          <w:lang w:val="de-DE" w:eastAsia="de-DE"/>
        </w:rPr>
        <w:t>zu Konzepten der Praxisanleitung in der stationären Langzeitpflege</w:t>
      </w:r>
      <w:r w:rsidR="009D5E8B" w:rsidRPr="00A562D2">
        <w:rPr>
          <w:rFonts w:ascii="Arial" w:hAnsi="Arial"/>
          <w:color w:val="161615"/>
          <w:lang w:val="de-DE" w:eastAsia="de-DE"/>
        </w:rPr>
        <w:t>.</w:t>
      </w:r>
      <w:r w:rsidR="009D5E8B">
        <w:rPr>
          <w:rFonts w:ascii="Arial" w:hAnsi="Arial"/>
          <w:color w:val="161615"/>
          <w:lang w:val="de-DE" w:eastAsia="de-DE"/>
        </w:rPr>
        <w:t xml:space="preserve"> </w:t>
      </w:r>
    </w:p>
    <w:p w14:paraId="6C802AA8" w14:textId="77777777" w:rsidR="00A562D2" w:rsidRDefault="00A562D2" w:rsidP="008B221A">
      <w:pPr>
        <w:rPr>
          <w:rFonts w:ascii="Arial" w:hAnsi="Arial"/>
          <w:color w:val="161615"/>
          <w:lang w:val="de-DE" w:eastAsia="de-DE"/>
        </w:rPr>
      </w:pPr>
    </w:p>
    <w:p w14:paraId="64966ED6" w14:textId="5820707B" w:rsidR="00F57EDD" w:rsidRPr="008B221A" w:rsidRDefault="00A562D2" w:rsidP="008B221A">
      <w:pPr>
        <w:rPr>
          <w:rFonts w:ascii="Arial" w:hAnsi="Arial"/>
          <w:color w:val="161615"/>
          <w:lang w:val="de-DE" w:eastAsia="de-DE"/>
        </w:rPr>
      </w:pPr>
      <w:r w:rsidRPr="00A562D2">
        <w:rPr>
          <w:rFonts w:ascii="Arial" w:hAnsi="Arial"/>
          <w:b/>
          <w:bCs/>
          <w:color w:val="161615"/>
          <w:lang w:val="de-DE" w:eastAsia="de-DE"/>
        </w:rPr>
        <w:t>Praxisanleitung sichtbar machen</w:t>
      </w:r>
      <w:r w:rsidRPr="00A562D2">
        <w:rPr>
          <w:rFonts w:ascii="Arial" w:hAnsi="Arial"/>
          <w:b/>
          <w:bCs/>
          <w:color w:val="161615"/>
          <w:lang w:val="de-DE" w:eastAsia="de-DE"/>
        </w:rPr>
        <w:br/>
      </w:r>
      <w:r w:rsidR="009D5E8B">
        <w:rPr>
          <w:rFonts w:ascii="Arial" w:hAnsi="Arial"/>
          <w:color w:val="161615"/>
          <w:lang w:val="de-DE" w:eastAsia="de-DE"/>
        </w:rPr>
        <w:t xml:space="preserve">Ausgehend von einer Problemstellung in der Praxis präsentieren die Teilnehmer:innen Lösungsvorschläge und Umsetzungsoptionen in der Praxis. </w:t>
      </w:r>
      <w:r w:rsidR="008A1161">
        <w:rPr>
          <w:rFonts w:ascii="Arial" w:hAnsi="Arial"/>
          <w:color w:val="161615"/>
          <w:lang w:val="de-DE" w:eastAsia="de-DE"/>
        </w:rPr>
        <w:t>„</w:t>
      </w:r>
      <w:r w:rsidR="00854C64">
        <w:rPr>
          <w:rFonts w:ascii="Arial" w:hAnsi="Arial"/>
          <w:color w:val="161615"/>
          <w:lang w:val="de-DE" w:eastAsia="de-DE"/>
        </w:rPr>
        <w:t xml:space="preserve">Wir freuen uns auf viele spannende Einreichungen. Mit dem Award bieten wir die Möglichkeit, die Praxisanleitung in Vorarlberg sichtbar zu machen. Wir </w:t>
      </w:r>
      <w:r w:rsidR="008A1161">
        <w:rPr>
          <w:rFonts w:ascii="Arial" w:hAnsi="Arial"/>
          <w:color w:val="161615"/>
          <w:lang w:val="de-DE" w:eastAsia="de-DE"/>
        </w:rPr>
        <w:t>schaffen</w:t>
      </w:r>
      <w:r w:rsidR="00854C64">
        <w:rPr>
          <w:rFonts w:ascii="Arial" w:hAnsi="Arial"/>
          <w:color w:val="161615"/>
          <w:lang w:val="de-DE" w:eastAsia="de-DE"/>
        </w:rPr>
        <w:t xml:space="preserve"> damit eine Plattform der Wissensvermittlung und der Vernetzung</w:t>
      </w:r>
      <w:r w:rsidR="008B221A" w:rsidRPr="008B221A">
        <w:rPr>
          <w:rFonts w:ascii="Arial" w:hAnsi="Arial"/>
          <w:color w:val="161615"/>
          <w:lang w:val="de-DE" w:eastAsia="de-DE"/>
        </w:rPr>
        <w:t>“, erläutert Peter Jäger, Organisator der Veranstaltung und Hochschullehrer im Bereich Gesundheits- und Krankenpflege.</w:t>
      </w:r>
    </w:p>
    <w:p w14:paraId="7D47EB9A" w14:textId="77777777" w:rsidR="008B221A" w:rsidRPr="008B221A" w:rsidRDefault="008B221A" w:rsidP="008B221A">
      <w:pPr>
        <w:rPr>
          <w:rFonts w:ascii="Arial" w:hAnsi="Arial"/>
          <w:color w:val="161615"/>
          <w:lang w:val="de-DE" w:eastAsia="de-DE"/>
        </w:rPr>
      </w:pPr>
    </w:p>
    <w:p w14:paraId="27631FF6" w14:textId="425E2A9E" w:rsidR="008B221A" w:rsidRPr="009D5E8B" w:rsidRDefault="008B221A" w:rsidP="009D5E8B">
      <w:pPr>
        <w:rPr>
          <w:rFonts w:ascii="Arial" w:hAnsi="Arial"/>
          <w:color w:val="161615"/>
          <w:lang w:val="de-DE" w:eastAsia="de-DE"/>
        </w:rPr>
      </w:pPr>
      <w:r w:rsidRPr="008B221A">
        <w:rPr>
          <w:rFonts w:ascii="Arial" w:hAnsi="Arial"/>
          <w:b/>
          <w:bCs/>
          <w:color w:val="161615"/>
          <w:lang w:val="de-DE" w:eastAsia="de-DE"/>
        </w:rPr>
        <w:t>Award-Verleihung am 2. Oktober</w:t>
      </w:r>
      <w:r w:rsidRPr="008B221A">
        <w:rPr>
          <w:rFonts w:ascii="Arial" w:hAnsi="Arial"/>
          <w:b/>
          <w:bCs/>
          <w:color w:val="161615"/>
          <w:lang w:val="de-DE" w:eastAsia="de-DE"/>
        </w:rPr>
        <w:br/>
      </w:r>
      <w:r w:rsidRPr="008B221A">
        <w:rPr>
          <w:rFonts w:ascii="Arial" w:hAnsi="Arial"/>
          <w:color w:val="161615"/>
          <w:lang w:val="de-DE" w:eastAsia="de-DE"/>
        </w:rPr>
        <w:t xml:space="preserve">Eine unabhängige Fachjury wählt aus den Einreichungen die drei besten aus. </w:t>
      </w:r>
      <w:r w:rsidR="00854C64">
        <w:rPr>
          <w:rFonts w:ascii="Arial" w:hAnsi="Arial"/>
          <w:color w:val="161615"/>
          <w:lang w:val="de-DE" w:eastAsia="de-DE"/>
        </w:rPr>
        <w:t>Die Award-Verleihung findet</w:t>
      </w:r>
      <w:r w:rsidRPr="008B221A">
        <w:rPr>
          <w:rFonts w:ascii="Arial" w:hAnsi="Arial"/>
          <w:color w:val="161615"/>
          <w:lang w:val="de-DE" w:eastAsia="de-DE"/>
        </w:rPr>
        <w:t xml:space="preserve"> im Rahmen der</w:t>
      </w:r>
      <w:r w:rsidR="00A562D2">
        <w:rPr>
          <w:rFonts w:ascii="Arial" w:hAnsi="Arial"/>
          <w:color w:val="161615"/>
          <w:lang w:val="de-DE" w:eastAsia="de-DE"/>
        </w:rPr>
        <w:t xml:space="preserve"> </w:t>
      </w:r>
      <w:r w:rsidRPr="008B221A">
        <w:rPr>
          <w:rFonts w:ascii="Arial" w:hAnsi="Arial"/>
          <w:color w:val="161615"/>
          <w:lang w:val="de-DE" w:eastAsia="de-DE"/>
        </w:rPr>
        <w:t>Konferenz der Praxisanleiter:innen</w:t>
      </w:r>
      <w:r w:rsidR="00A562D2">
        <w:rPr>
          <w:rFonts w:ascii="Arial" w:hAnsi="Arial"/>
          <w:color w:val="161615"/>
          <w:lang w:val="de-DE" w:eastAsia="de-DE"/>
        </w:rPr>
        <w:t xml:space="preserve"> (KoPAL)</w:t>
      </w:r>
      <w:r w:rsidR="00854C64">
        <w:rPr>
          <w:rFonts w:ascii="Arial" w:hAnsi="Arial"/>
          <w:color w:val="161615"/>
          <w:lang w:val="de-DE" w:eastAsia="de-DE"/>
        </w:rPr>
        <w:t>,</w:t>
      </w:r>
      <w:r w:rsidRPr="008B221A">
        <w:rPr>
          <w:rFonts w:ascii="Arial" w:hAnsi="Arial"/>
          <w:color w:val="161615"/>
          <w:lang w:val="de-DE" w:eastAsia="de-DE"/>
        </w:rPr>
        <w:t xml:space="preserve"> am 2. Oktober 2024 an der FHV</w:t>
      </w:r>
      <w:r w:rsidR="00A562D2">
        <w:rPr>
          <w:rFonts w:ascii="Arial" w:hAnsi="Arial"/>
          <w:color w:val="161615"/>
          <w:lang w:val="de-DE" w:eastAsia="de-DE"/>
        </w:rPr>
        <w:t xml:space="preserve"> statt</w:t>
      </w:r>
      <w:r w:rsidRPr="008B221A">
        <w:rPr>
          <w:rFonts w:ascii="Arial" w:hAnsi="Arial"/>
          <w:color w:val="161615"/>
          <w:lang w:val="de-DE" w:eastAsia="de-DE"/>
        </w:rPr>
        <w:t xml:space="preserve">. </w:t>
      </w:r>
      <w:r w:rsidR="009D5E8B" w:rsidRPr="009D5E8B">
        <w:rPr>
          <w:rFonts w:ascii="Arial" w:hAnsi="Arial"/>
          <w:color w:val="161615"/>
          <w:lang w:val="de-DE" w:eastAsia="de-DE"/>
        </w:rPr>
        <w:t xml:space="preserve">Das </w:t>
      </w:r>
      <w:r w:rsidR="009D5E8B">
        <w:rPr>
          <w:rFonts w:ascii="Arial" w:hAnsi="Arial"/>
          <w:color w:val="161615"/>
          <w:lang w:val="de-DE" w:eastAsia="de-DE"/>
        </w:rPr>
        <w:t>Siegerprojekt oder -konzept</w:t>
      </w:r>
      <w:r w:rsidR="009D5E8B" w:rsidRPr="009D5E8B">
        <w:rPr>
          <w:rFonts w:ascii="Arial" w:hAnsi="Arial"/>
          <w:color w:val="161615"/>
          <w:lang w:val="de-DE" w:eastAsia="de-DE"/>
        </w:rPr>
        <w:t xml:space="preserve"> wird nach Möglichkeit in der Fachzeitschrift „Praxisanleitung“ in Kooperation mit der FHV einem breiten Publikum vorgestellt.</w:t>
      </w:r>
      <w:r w:rsidR="008A1161">
        <w:rPr>
          <w:rFonts w:ascii="Arial" w:hAnsi="Arial"/>
          <w:color w:val="161615"/>
          <w:lang w:val="de-DE" w:eastAsia="de-DE"/>
        </w:rPr>
        <w:t xml:space="preserve"> </w:t>
      </w:r>
      <w:r w:rsidRPr="008B221A">
        <w:rPr>
          <w:rFonts w:ascii="Arial" w:hAnsi="Arial"/>
          <w:color w:val="161615"/>
          <w:lang w:val="de-DE" w:eastAsia="de-DE"/>
        </w:rPr>
        <w:t xml:space="preserve">Alle Infos zur </w:t>
      </w:r>
      <w:r w:rsidR="009D5E8B">
        <w:rPr>
          <w:rFonts w:ascii="Arial" w:hAnsi="Arial"/>
          <w:color w:val="161615"/>
          <w:lang w:val="de-DE" w:eastAsia="de-DE"/>
        </w:rPr>
        <w:t xml:space="preserve">Einreichung für den Good Practice Award für die Praxisanleitung </w:t>
      </w:r>
      <w:r w:rsidRPr="008B221A">
        <w:rPr>
          <w:rFonts w:ascii="Arial" w:hAnsi="Arial"/>
          <w:color w:val="161615"/>
          <w:lang w:val="de-DE" w:eastAsia="de-DE"/>
        </w:rPr>
        <w:t xml:space="preserve">gibt’s hier: </w:t>
      </w:r>
      <w:hyperlink r:id="rId9" w:history="1">
        <w:r w:rsidRPr="003B35D1">
          <w:rPr>
            <w:rStyle w:val="Hyperlink"/>
            <w:rFonts w:ascii="Arial" w:hAnsi="Arial"/>
            <w:lang w:val="de-AT"/>
          </w:rPr>
          <w:t>FHV/connexia Good Practice PAL Award</w:t>
        </w:r>
      </w:hyperlink>
    </w:p>
    <w:p w14:paraId="460867CB" w14:textId="77777777" w:rsidR="008B221A" w:rsidRPr="00A562D2" w:rsidRDefault="008B221A" w:rsidP="00F57EDD">
      <w:pPr>
        <w:shd w:val="clear" w:color="auto" w:fill="FFFFFF"/>
        <w:spacing w:after="100" w:afterAutospacing="1"/>
        <w:rPr>
          <w:rFonts w:ascii="Arial" w:hAnsi="Arial"/>
          <w:strike/>
          <w:color w:val="161615"/>
          <w:sz w:val="18"/>
          <w:szCs w:val="18"/>
          <w:lang w:val="de-DE" w:eastAsia="de-DE"/>
        </w:rPr>
      </w:pPr>
    </w:p>
    <w:p w14:paraId="307E1183" w14:textId="498C225E" w:rsidR="00F57EDD" w:rsidRPr="008A1161" w:rsidRDefault="008B221A" w:rsidP="008A1161">
      <w:pPr>
        <w:pBdr>
          <w:top w:val="single" w:sz="4" w:space="1" w:color="auto"/>
          <w:left w:val="single" w:sz="4" w:space="4" w:color="auto"/>
          <w:bottom w:val="single" w:sz="4" w:space="1" w:color="auto"/>
          <w:right w:val="single" w:sz="4" w:space="4" w:color="auto"/>
        </w:pBdr>
        <w:shd w:val="clear" w:color="auto" w:fill="FFFFFF"/>
        <w:spacing w:after="100" w:afterAutospacing="1"/>
        <w:rPr>
          <w:rFonts w:ascii="Arial" w:hAnsi="Arial"/>
          <w:color w:val="161615"/>
          <w:lang w:val="de-DE" w:eastAsia="de-DE"/>
        </w:rPr>
      </w:pPr>
      <w:r w:rsidRPr="00A562D2">
        <w:rPr>
          <w:rFonts w:ascii="Arial" w:hAnsi="Arial"/>
          <w:b/>
          <w:bCs/>
          <w:color w:val="161615"/>
          <w:sz w:val="18"/>
          <w:szCs w:val="18"/>
          <w:lang w:val="de-DE" w:eastAsia="de-DE"/>
        </w:rPr>
        <w:t>Good Practice Award für die Praxisanleitung</w:t>
      </w:r>
      <w:r w:rsidR="00F57EDD" w:rsidRPr="00A562D2">
        <w:rPr>
          <w:rFonts w:ascii="Arial" w:hAnsi="Arial"/>
          <w:color w:val="161615"/>
          <w:sz w:val="18"/>
          <w:szCs w:val="18"/>
          <w:lang w:val="de-DE" w:eastAsia="de-DE"/>
        </w:rPr>
        <w:br/>
      </w:r>
      <w:r w:rsidR="00F57EDD" w:rsidRPr="00A562D2">
        <w:rPr>
          <w:rFonts w:ascii="Arial" w:hAnsi="Arial"/>
          <w:b/>
          <w:bCs/>
          <w:color w:val="000000" w:themeColor="text1"/>
          <w:sz w:val="18"/>
          <w:szCs w:val="18"/>
          <w:lang w:val="de-AT"/>
        </w:rPr>
        <w:t>Zeitplan</w:t>
      </w:r>
      <w:r w:rsidRPr="00A562D2">
        <w:rPr>
          <w:rFonts w:ascii="Arial" w:hAnsi="Arial"/>
          <w:b/>
          <w:bCs/>
          <w:color w:val="000000" w:themeColor="text1"/>
          <w:sz w:val="18"/>
          <w:szCs w:val="18"/>
          <w:lang w:val="de-AT"/>
        </w:rPr>
        <w:t>:</w:t>
      </w:r>
      <w:r w:rsidRPr="00A562D2">
        <w:rPr>
          <w:rFonts w:ascii="Arial" w:hAnsi="Arial"/>
          <w:color w:val="161615"/>
          <w:sz w:val="18"/>
          <w:szCs w:val="18"/>
          <w:lang w:val="de-DE" w:eastAsia="de-DE"/>
        </w:rPr>
        <w:br/>
      </w:r>
      <w:r w:rsidR="00F57EDD" w:rsidRPr="00A562D2">
        <w:rPr>
          <w:rFonts w:ascii="Arial" w:hAnsi="Arial"/>
          <w:b/>
          <w:bCs/>
          <w:color w:val="000000" w:themeColor="text1"/>
          <w:sz w:val="18"/>
          <w:szCs w:val="18"/>
          <w:lang w:val="de-AT"/>
        </w:rPr>
        <w:t>1) Einreichungszeitraum</w:t>
      </w:r>
      <w:r w:rsidR="00F57EDD" w:rsidRPr="00A562D2">
        <w:rPr>
          <w:rFonts w:ascii="Arial" w:hAnsi="Arial"/>
          <w:color w:val="000000" w:themeColor="text1"/>
          <w:sz w:val="18"/>
          <w:szCs w:val="18"/>
          <w:lang w:val="de-AT"/>
        </w:rPr>
        <w:br/>
      </w:r>
      <w:r w:rsidR="008A1161" w:rsidRPr="00A562D2">
        <w:rPr>
          <w:rFonts w:ascii="Arial" w:hAnsi="Arial"/>
          <w:color w:val="000000" w:themeColor="text1"/>
          <w:sz w:val="18"/>
          <w:szCs w:val="18"/>
          <w:lang w:val="de-AT"/>
        </w:rPr>
        <w:t>Die Einreichung von Projekten und Konzepten ist noch bis zum</w:t>
      </w:r>
      <w:r w:rsidR="00F57EDD" w:rsidRPr="00A562D2">
        <w:rPr>
          <w:rFonts w:ascii="Arial" w:hAnsi="Arial"/>
          <w:color w:val="000000" w:themeColor="text1"/>
          <w:sz w:val="18"/>
          <w:szCs w:val="18"/>
          <w:lang w:val="de-AT"/>
        </w:rPr>
        <w:t xml:space="preserve"> 31. Mai 2024 </w:t>
      </w:r>
      <w:r w:rsidR="008A1161" w:rsidRPr="00A562D2">
        <w:rPr>
          <w:rFonts w:ascii="Arial" w:hAnsi="Arial"/>
          <w:color w:val="000000" w:themeColor="text1"/>
          <w:sz w:val="18"/>
          <w:szCs w:val="18"/>
          <w:lang w:val="de-AT"/>
        </w:rPr>
        <w:t>möglich</w:t>
      </w:r>
      <w:r w:rsidR="008A1161" w:rsidRPr="00A562D2">
        <w:rPr>
          <w:rFonts w:ascii="Arial" w:hAnsi="Arial"/>
          <w:color w:val="000000" w:themeColor="text1"/>
          <w:sz w:val="18"/>
          <w:szCs w:val="18"/>
          <w:lang w:val="de-AT"/>
        </w:rPr>
        <w:br/>
      </w:r>
      <w:r w:rsidR="00F57EDD" w:rsidRPr="00A562D2">
        <w:rPr>
          <w:rFonts w:ascii="Arial" w:hAnsi="Arial"/>
          <w:b/>
          <w:bCs/>
          <w:color w:val="000000" w:themeColor="text1"/>
          <w:sz w:val="18"/>
          <w:szCs w:val="18"/>
          <w:lang w:val="de-AT"/>
        </w:rPr>
        <w:t>2) Validierung der Projekte</w:t>
      </w:r>
      <w:r w:rsidR="00F57EDD" w:rsidRPr="00A562D2">
        <w:rPr>
          <w:rFonts w:ascii="Arial" w:hAnsi="Arial"/>
          <w:color w:val="000000" w:themeColor="text1"/>
          <w:sz w:val="18"/>
          <w:szCs w:val="18"/>
          <w:lang w:val="de-AT"/>
        </w:rPr>
        <w:br/>
        <w:t xml:space="preserve">Eine unabhängige Fachjury </w:t>
      </w:r>
      <w:r w:rsidR="008A1161" w:rsidRPr="00A562D2">
        <w:rPr>
          <w:rFonts w:ascii="Arial" w:hAnsi="Arial"/>
          <w:color w:val="000000" w:themeColor="text1"/>
          <w:sz w:val="18"/>
          <w:szCs w:val="18"/>
          <w:lang w:val="de-AT"/>
        </w:rPr>
        <w:t>kürt</w:t>
      </w:r>
      <w:r w:rsidR="00F57EDD" w:rsidRPr="00A562D2">
        <w:rPr>
          <w:rFonts w:ascii="Arial" w:hAnsi="Arial"/>
          <w:color w:val="000000" w:themeColor="text1"/>
          <w:sz w:val="18"/>
          <w:szCs w:val="18"/>
          <w:lang w:val="de-AT"/>
        </w:rPr>
        <w:t xml:space="preserve"> bis zum 30. Juni 2024 </w:t>
      </w:r>
      <w:r w:rsidR="008A1161" w:rsidRPr="00A562D2">
        <w:rPr>
          <w:rFonts w:ascii="Arial" w:hAnsi="Arial"/>
          <w:color w:val="000000" w:themeColor="text1"/>
          <w:sz w:val="18"/>
          <w:szCs w:val="18"/>
          <w:lang w:val="de-AT"/>
        </w:rPr>
        <w:t>die drei besten Einreichungen</w:t>
      </w:r>
      <w:r w:rsidR="00F57EDD" w:rsidRPr="00A562D2">
        <w:rPr>
          <w:rFonts w:ascii="Arial" w:hAnsi="Arial"/>
          <w:color w:val="000000" w:themeColor="text1"/>
          <w:sz w:val="18"/>
          <w:szCs w:val="18"/>
          <w:lang w:val="de-AT"/>
        </w:rPr>
        <w:t xml:space="preserve"> </w:t>
      </w:r>
      <w:r w:rsidRPr="00A562D2">
        <w:rPr>
          <w:rFonts w:ascii="Arial" w:hAnsi="Arial"/>
          <w:color w:val="161615"/>
          <w:sz w:val="18"/>
          <w:szCs w:val="18"/>
          <w:lang w:val="de-DE" w:eastAsia="de-DE"/>
        </w:rPr>
        <w:br/>
      </w:r>
      <w:r w:rsidR="00F57EDD" w:rsidRPr="00A562D2">
        <w:rPr>
          <w:rFonts w:ascii="Arial" w:hAnsi="Arial"/>
          <w:b/>
          <w:bCs/>
          <w:color w:val="000000" w:themeColor="text1"/>
          <w:sz w:val="18"/>
          <w:szCs w:val="18"/>
          <w:lang w:val="de-AT"/>
        </w:rPr>
        <w:t>3) Präsentation und Prämierung</w:t>
      </w:r>
      <w:r w:rsidR="00F57EDD" w:rsidRPr="00A562D2">
        <w:rPr>
          <w:rFonts w:ascii="Arial" w:hAnsi="Arial"/>
          <w:color w:val="000000" w:themeColor="text1"/>
          <w:sz w:val="18"/>
          <w:szCs w:val="18"/>
          <w:lang w:val="de-AT"/>
        </w:rPr>
        <w:br/>
        <w:t>Im Rahmen der KoPAL'24 (Konferenz der Praxi</w:t>
      </w:r>
      <w:r w:rsidRPr="00A562D2">
        <w:rPr>
          <w:rFonts w:ascii="Arial" w:hAnsi="Arial"/>
          <w:color w:val="000000" w:themeColor="text1"/>
          <w:sz w:val="18"/>
          <w:szCs w:val="18"/>
          <w:lang w:val="de-AT"/>
        </w:rPr>
        <w:t>s</w:t>
      </w:r>
      <w:r w:rsidR="00F57EDD" w:rsidRPr="00A562D2">
        <w:rPr>
          <w:rFonts w:ascii="Arial" w:hAnsi="Arial"/>
          <w:color w:val="000000" w:themeColor="text1"/>
          <w:sz w:val="18"/>
          <w:szCs w:val="18"/>
          <w:lang w:val="de-AT"/>
        </w:rPr>
        <w:t xml:space="preserve">anleiter:innen) am </w:t>
      </w:r>
      <w:r w:rsidR="00F57EDD" w:rsidRPr="00A562D2">
        <w:rPr>
          <w:rFonts w:ascii="Arial" w:hAnsi="Arial"/>
          <w:b/>
          <w:bCs/>
          <w:color w:val="000000" w:themeColor="text1"/>
          <w:sz w:val="18"/>
          <w:szCs w:val="18"/>
          <w:lang w:val="de-AT"/>
        </w:rPr>
        <w:t>2. Oktober 2024</w:t>
      </w:r>
      <w:r w:rsidR="00F57EDD" w:rsidRPr="00A562D2">
        <w:rPr>
          <w:rFonts w:ascii="Arial" w:hAnsi="Arial"/>
          <w:color w:val="000000" w:themeColor="text1"/>
          <w:sz w:val="18"/>
          <w:szCs w:val="18"/>
          <w:lang w:val="de-AT"/>
        </w:rPr>
        <w:t xml:space="preserve"> an der FHV präsentieren die drei Gewinner:innen ihr Projekt</w:t>
      </w:r>
      <w:r w:rsidR="008A1161" w:rsidRPr="00A562D2">
        <w:rPr>
          <w:rFonts w:ascii="Arial" w:hAnsi="Arial"/>
          <w:color w:val="000000" w:themeColor="text1"/>
          <w:sz w:val="18"/>
          <w:szCs w:val="18"/>
          <w:lang w:val="de-AT"/>
        </w:rPr>
        <w:t xml:space="preserve"> oder </w:t>
      </w:r>
      <w:r w:rsidR="00F57EDD" w:rsidRPr="00A562D2">
        <w:rPr>
          <w:rFonts w:ascii="Arial" w:hAnsi="Arial"/>
          <w:color w:val="000000" w:themeColor="text1"/>
          <w:sz w:val="18"/>
          <w:szCs w:val="18"/>
          <w:lang w:val="de-AT"/>
        </w:rPr>
        <w:t>Konzept und erhalten eine Prämierung.</w:t>
      </w:r>
      <w:r w:rsidR="008A1161" w:rsidRPr="00A562D2">
        <w:rPr>
          <w:rFonts w:ascii="Arial" w:hAnsi="Arial"/>
          <w:color w:val="000000" w:themeColor="text1"/>
          <w:sz w:val="18"/>
          <w:szCs w:val="18"/>
          <w:lang w:val="de-AT"/>
        </w:rPr>
        <w:br/>
        <w:t>Alle Infos</w:t>
      </w:r>
      <w:r w:rsidR="008A1161" w:rsidRPr="008A1161">
        <w:rPr>
          <w:rFonts w:ascii="Arial" w:hAnsi="Arial"/>
          <w:color w:val="000000" w:themeColor="text1"/>
          <w:lang w:val="de-AT"/>
        </w:rPr>
        <w:t xml:space="preserve">: </w:t>
      </w:r>
      <w:hyperlink r:id="rId10" w:history="1">
        <w:r w:rsidR="008A1161" w:rsidRPr="003B35D1">
          <w:rPr>
            <w:rStyle w:val="Hyperlink"/>
            <w:rFonts w:ascii="Arial" w:hAnsi="Arial"/>
            <w:lang w:val="de-AT"/>
          </w:rPr>
          <w:t>FHV/connexia Good Practice PAL Award</w:t>
        </w:r>
      </w:hyperlink>
    </w:p>
    <w:p w14:paraId="10EDE61B" w14:textId="2FE9CF8A" w:rsidR="00175140" w:rsidRPr="00A562D2" w:rsidRDefault="00175140" w:rsidP="00175140">
      <w:pPr>
        <w:rPr>
          <w:rFonts w:ascii="Arial" w:hAnsi="Arial"/>
          <w:color w:val="000000" w:themeColor="text1"/>
          <w:lang w:val="de-AT"/>
        </w:rPr>
      </w:pPr>
      <w:r w:rsidRPr="00A562D2">
        <w:rPr>
          <w:rFonts w:ascii="Arial" w:hAnsi="Arial"/>
          <w:color w:val="000000" w:themeColor="text1"/>
          <w:lang w:val="de-AT"/>
        </w:rPr>
        <w:t xml:space="preserve">Credit: </w:t>
      </w:r>
      <w:r w:rsidR="00A562D2" w:rsidRPr="00A562D2">
        <w:rPr>
          <w:rFonts w:ascii="Arial" w:hAnsi="Arial"/>
          <w:color w:val="000000" w:themeColor="text1"/>
          <w:lang w:val="de-AT"/>
        </w:rPr>
        <w:t>FHV/Keckeis</w:t>
      </w:r>
    </w:p>
    <w:p w14:paraId="0350A2A9" w14:textId="1B9A6D9C" w:rsidR="00175140" w:rsidRDefault="00175140" w:rsidP="00175140">
      <w:pPr>
        <w:rPr>
          <w:rFonts w:ascii="Arial" w:hAnsi="Arial"/>
          <w:b/>
          <w:bCs/>
          <w:color w:val="000000" w:themeColor="text1"/>
          <w:lang w:val="de-AT"/>
        </w:rPr>
      </w:pPr>
      <w:r w:rsidRPr="00A562D2">
        <w:rPr>
          <w:rFonts w:ascii="Arial" w:hAnsi="Arial"/>
          <w:color w:val="000000" w:themeColor="text1"/>
          <w:lang w:val="de-AT"/>
        </w:rPr>
        <w:t>Bildunterschrift</w:t>
      </w:r>
      <w:r w:rsidR="00F57EDD" w:rsidRPr="00A562D2">
        <w:rPr>
          <w:rFonts w:ascii="Arial" w:hAnsi="Arial"/>
          <w:color w:val="000000" w:themeColor="text1"/>
          <w:lang w:val="de-AT"/>
        </w:rPr>
        <w:t xml:space="preserve">: </w:t>
      </w:r>
      <w:r w:rsidR="00A562D2">
        <w:rPr>
          <w:rFonts w:ascii="Arial" w:hAnsi="Arial"/>
          <w:color w:val="000000" w:themeColor="text1"/>
          <w:lang w:val="de-AT"/>
        </w:rPr>
        <w:t xml:space="preserve">Die Einreichungen zum </w:t>
      </w:r>
      <w:r w:rsidR="00A562D2" w:rsidRPr="00A562D2">
        <w:rPr>
          <w:rFonts w:ascii="Arial" w:hAnsi="Arial"/>
          <w:color w:val="000000" w:themeColor="text1"/>
          <w:lang w:val="de-DE"/>
        </w:rPr>
        <w:t>FHV/connexia Good Practice P</w:t>
      </w:r>
      <w:r w:rsidR="00A562D2">
        <w:rPr>
          <w:rFonts w:ascii="Arial" w:hAnsi="Arial"/>
          <w:color w:val="000000" w:themeColor="text1"/>
          <w:lang w:val="de-DE"/>
        </w:rPr>
        <w:t xml:space="preserve">raxisanleitung </w:t>
      </w:r>
      <w:r w:rsidR="00A562D2" w:rsidRPr="00A562D2">
        <w:rPr>
          <w:rFonts w:ascii="Arial" w:hAnsi="Arial"/>
          <w:color w:val="000000" w:themeColor="text1"/>
          <w:lang w:val="de-DE"/>
        </w:rPr>
        <w:t xml:space="preserve">Award </w:t>
      </w:r>
      <w:r w:rsidR="00A562D2">
        <w:rPr>
          <w:rFonts w:ascii="Arial" w:hAnsi="Arial"/>
          <w:color w:val="000000" w:themeColor="text1"/>
          <w:lang w:val="de-DE"/>
        </w:rPr>
        <w:t>sind noch bis zum 31. Mai möglich.</w:t>
      </w:r>
    </w:p>
    <w:p w14:paraId="1C55C1FE" w14:textId="77777777" w:rsidR="00175140" w:rsidRDefault="00175140" w:rsidP="00175140">
      <w:pPr>
        <w:rPr>
          <w:rFonts w:ascii="Arial" w:hAnsi="Arial"/>
          <w:b/>
          <w:bCs/>
          <w:color w:val="000000" w:themeColor="text1"/>
          <w:lang w:val="de-AT"/>
        </w:rPr>
      </w:pPr>
    </w:p>
    <w:p w14:paraId="135277F1" w14:textId="77777777" w:rsidR="00175140" w:rsidRDefault="00175140" w:rsidP="00175140">
      <w:pPr>
        <w:rPr>
          <w:rFonts w:ascii="Arial" w:hAnsi="Arial"/>
          <w:b/>
          <w:bCs/>
          <w:color w:val="000000" w:themeColor="text1"/>
          <w:lang w:val="de-AT"/>
        </w:rPr>
      </w:pPr>
    </w:p>
    <w:p w14:paraId="13D15E8B" w14:textId="77777777" w:rsidR="00175140" w:rsidRPr="00B233AD" w:rsidRDefault="00175140" w:rsidP="00175140">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F8231C"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000000"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11" w:history="1">
              <w:r w:rsidR="003B0FAC"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9351EA"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viermal im Jahr erscheinenden Forschungsnewsletter </w:t>
            </w:r>
            <w:hyperlink r:id="rId12" w:history="1">
              <w:r w:rsidRPr="009351EA">
                <w:rPr>
                  <w:rStyle w:val="Hyperlink"/>
                  <w:rFonts w:ascii="Arial" w:hAnsi="Arial"/>
                  <w:color w:val="E36C0A" w:themeColor="accent6" w:themeShade="BF"/>
                  <w:szCs w:val="30"/>
                  <w:lang w:val="de-AT"/>
                </w:rPr>
                <w:t>hier</w:t>
              </w:r>
            </w:hyperlink>
            <w:r w:rsidRPr="009351EA">
              <w:rPr>
                <w:rFonts w:ascii="Arial" w:hAnsi="Arial"/>
                <w:color w:val="E36C0A" w:themeColor="accent6" w:themeShade="BF"/>
                <w:szCs w:val="30"/>
                <w:lang w:val="de-AT"/>
              </w:rPr>
              <w:t>.</w:t>
            </w:r>
          </w:p>
          <w:p w14:paraId="002D4097" w14:textId="77777777" w:rsid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9351EA" w:rsidRDefault="00000000"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3" w:history="1">
              <w:r w:rsidR="009351EA" w:rsidRPr="009351EA">
                <w:rPr>
                  <w:rStyle w:val="Hyperlink"/>
                  <w:rFonts w:ascii="Arial" w:hAnsi="Arial"/>
                  <w:color w:val="B2A1C7" w:themeColor="accent4" w:themeTint="99"/>
                  <w:szCs w:val="30"/>
                  <w:lang w:val="de-AT"/>
                </w:rPr>
                <w:t>Hier</w:t>
              </w:r>
            </w:hyperlink>
            <w:r w:rsidR="009351EA" w:rsidRPr="009351EA">
              <w:rPr>
                <w:rFonts w:ascii="Arial" w:hAnsi="Arial"/>
                <w:color w:val="B2A1C7" w:themeColor="accent4" w:themeTint="99"/>
                <w:szCs w:val="30"/>
                <w:lang w:val="de-AT"/>
              </w:rPr>
              <w:t xml:space="preserve"> </w:t>
            </w:r>
            <w:r w:rsidR="009351EA" w:rsidRPr="00A562D2">
              <w:rPr>
                <w:rFonts w:ascii="Arial" w:hAnsi="Arial"/>
                <w:szCs w:val="30"/>
                <w:lang w:val="de-AT"/>
              </w:rPr>
              <w:t>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C9FC3D9" w14:textId="77777777" w:rsidR="00A562D2" w:rsidRPr="00A562D2" w:rsidRDefault="00A562D2" w:rsidP="00A562D2">
      <w:pPr>
        <w:rPr>
          <w:rFonts w:ascii="Arial" w:hAnsi="Arial"/>
          <w:b/>
          <w:bCs/>
          <w:color w:val="000000" w:themeColor="text1"/>
          <w:sz w:val="16"/>
          <w:szCs w:val="16"/>
          <w:lang w:val="de-AT"/>
        </w:rPr>
      </w:pPr>
      <w:r w:rsidRPr="00A562D2">
        <w:rPr>
          <w:rFonts w:ascii="Arial" w:hAnsi="Arial"/>
          <w:b/>
          <w:bCs/>
          <w:color w:val="000000" w:themeColor="text1"/>
          <w:sz w:val="16"/>
          <w:szCs w:val="16"/>
          <w:lang w:val="de-AT"/>
        </w:rPr>
        <w:t>Über die FHV – Vorarlberg University of Applied Sciences</w:t>
      </w:r>
    </w:p>
    <w:p w14:paraId="04F36013" w14:textId="5FACAD24" w:rsidR="00A562D2" w:rsidRPr="00A562D2" w:rsidRDefault="00A562D2" w:rsidP="00A562D2">
      <w:pPr>
        <w:rPr>
          <w:rFonts w:ascii="Arial" w:hAnsi="Arial"/>
          <w:color w:val="000000" w:themeColor="text1"/>
          <w:sz w:val="16"/>
          <w:szCs w:val="16"/>
          <w:lang w:val="de-AT"/>
        </w:rPr>
      </w:pPr>
      <w:r w:rsidRPr="00A562D2">
        <w:rPr>
          <w:rFonts w:ascii="Arial" w:hAnsi="Arial"/>
          <w:color w:val="000000" w:themeColor="text1"/>
          <w:sz w:val="16"/>
          <w:szCs w:val="16"/>
          <w:lang w:val="de-AT"/>
        </w:rPr>
        <w:t xml:space="preserve">Die Fachhochschule Vorarlberg (FHV – Vorarlberg University of Applied Sciences) wurde im Jahr 1989 als Verein „Technikum Vorarlberg“ gegründet. 1994 startete der erste Diplomstudiengang mit 45 Studierenden und es erfolgte eine Umbenennung in „Fachhochschul-Studiengänge Vorarlberg“. </w:t>
      </w:r>
      <w:r w:rsidR="00B30CEA" w:rsidRPr="00B30CEA">
        <w:rPr>
          <w:rFonts w:ascii="Arial" w:hAnsi="Arial"/>
          <w:color w:val="000000" w:themeColor="text1"/>
          <w:sz w:val="16"/>
          <w:szCs w:val="16"/>
          <w:lang w:val="de-AT"/>
        </w:rPr>
        <w:t>Am 6. September 2024 feiert die FHV das 30-Jahr-Jubiläum.</w:t>
      </w:r>
      <w:r w:rsidR="00B30CEA">
        <w:rPr>
          <w:rFonts w:ascii="Arial" w:hAnsi="Arial"/>
          <w:color w:val="000000" w:themeColor="text1"/>
          <w:sz w:val="16"/>
          <w:szCs w:val="16"/>
          <w:lang w:val="de-AT"/>
        </w:rPr>
        <w:br/>
      </w:r>
      <w:r w:rsidRPr="00A562D2">
        <w:rPr>
          <w:rFonts w:ascii="Arial" w:hAnsi="Arial"/>
          <w:color w:val="000000" w:themeColor="text1"/>
          <w:sz w:val="16"/>
          <w:szCs w:val="16"/>
          <w:lang w:val="de-AT"/>
        </w:rPr>
        <w:t xml:space="preserve">1999 wurde der Fachhochschulstatus verliehen. Heute verzeichnet die FHV rund 1600 Studierende in Vollzeit und berufsbegleitenden Studien. Die Institution bietet mehr </w:t>
      </w:r>
      <w:r w:rsidR="00B30CEA">
        <w:rPr>
          <w:rFonts w:ascii="Arial" w:hAnsi="Arial"/>
          <w:color w:val="000000" w:themeColor="text1"/>
          <w:sz w:val="16"/>
          <w:szCs w:val="16"/>
          <w:lang w:val="de-AT"/>
        </w:rPr>
        <w:t>25</w:t>
      </w:r>
      <w:r w:rsidRPr="00A562D2">
        <w:rPr>
          <w:rFonts w:ascii="Arial" w:hAnsi="Arial"/>
          <w:color w:val="000000" w:themeColor="text1"/>
          <w:sz w:val="16"/>
          <w:szCs w:val="16"/>
          <w:lang w:val="de-AT"/>
        </w:rPr>
        <w:t xml:space="preserve"> Bachelor- und Masterstudiengänge in den vier Fachbereichen Wirtschaft, Technik, Soziales und Gesundheit und Gestaltung. Weiters kooperiert die FHV weltweit mit mehr als 100 Partnerhochschulen. </w:t>
      </w:r>
    </w:p>
    <w:p w14:paraId="07B96078" w14:textId="77777777" w:rsidR="00A562D2" w:rsidRPr="00A562D2" w:rsidRDefault="00A562D2" w:rsidP="00A562D2">
      <w:pPr>
        <w:rPr>
          <w:rFonts w:ascii="Arial" w:hAnsi="Arial"/>
          <w:color w:val="000000" w:themeColor="text1"/>
          <w:sz w:val="16"/>
          <w:szCs w:val="16"/>
          <w:lang w:val="de-AT"/>
        </w:rPr>
      </w:pPr>
    </w:p>
    <w:p w14:paraId="6DB68B78" w14:textId="0F4850B8" w:rsidR="00A562D2" w:rsidRPr="00A562D2" w:rsidRDefault="00A562D2" w:rsidP="00A562D2">
      <w:pPr>
        <w:rPr>
          <w:rFonts w:ascii="Arial" w:hAnsi="Arial"/>
          <w:color w:val="000000" w:themeColor="text1"/>
          <w:sz w:val="16"/>
          <w:szCs w:val="16"/>
          <w:lang w:val="de-AT"/>
        </w:rPr>
      </w:pPr>
      <w:r w:rsidRPr="00A562D2">
        <w:rPr>
          <w:rFonts w:ascii="Arial" w:hAnsi="Arial"/>
          <w:color w:val="000000" w:themeColor="text1"/>
          <w:sz w:val="16"/>
          <w:szCs w:val="16"/>
          <w:lang w:val="de-AT"/>
        </w:rPr>
        <w:t xml:space="preserve">Mit </w:t>
      </w:r>
      <w:r w:rsidR="001224C0">
        <w:rPr>
          <w:rFonts w:ascii="Arial" w:hAnsi="Arial"/>
          <w:color w:val="000000" w:themeColor="text1"/>
          <w:sz w:val="16"/>
          <w:szCs w:val="16"/>
          <w:lang w:val="de-AT"/>
        </w:rPr>
        <w:t>100</w:t>
      </w:r>
      <w:r w:rsidRPr="00A562D2">
        <w:rPr>
          <w:rFonts w:ascii="Arial" w:hAnsi="Arial"/>
          <w:color w:val="000000" w:themeColor="text1"/>
          <w:sz w:val="16"/>
          <w:szCs w:val="16"/>
          <w:lang w:val="de-AT"/>
        </w:rPr>
        <w:t xml:space="preserve"> Forschenden in vier Forschungszentren, </w:t>
      </w:r>
      <w:r w:rsidR="001224C0">
        <w:rPr>
          <w:rFonts w:ascii="Arial" w:hAnsi="Arial"/>
          <w:color w:val="000000" w:themeColor="text1"/>
          <w:sz w:val="16"/>
          <w:szCs w:val="16"/>
          <w:lang w:val="de-AT"/>
        </w:rPr>
        <w:t>drei</w:t>
      </w:r>
      <w:r w:rsidRPr="00A562D2">
        <w:rPr>
          <w:rFonts w:ascii="Arial" w:hAnsi="Arial"/>
          <w:color w:val="000000" w:themeColor="text1"/>
          <w:sz w:val="16"/>
          <w:szCs w:val="16"/>
          <w:lang w:val="de-AT"/>
        </w:rPr>
        <w:t xml:space="preserve"> Forschungsgruppen und zwei Tochterunternehmen ist die FHV eine der forschungsstärksten Fachhochschulen in Österreich. Die FHV kooperiert mit lokalen Unternehmen und Organisationen und teilt das Wissen im Wissenschaftsverbund der Vierländerregion Bodensee. Gemeinsam mit anderen Hochschulen in Irland, Spanien, Portugal, den Niederlanden und Finnland bildet die FH Vorarlberg das Regional University Network (RUN), durch das unter anderem schrankenlose Mobilität für Studierende, Forschende und flexible PhD-Abschlüsse möglich werden. </w:t>
      </w:r>
      <w:r w:rsidR="001224C0">
        <w:rPr>
          <w:rFonts w:ascii="Arial" w:hAnsi="Arial"/>
          <w:color w:val="000000" w:themeColor="text1"/>
          <w:sz w:val="16"/>
          <w:szCs w:val="16"/>
          <w:lang w:val="de-AT"/>
        </w:rPr>
        <w:t>Knapp 400</w:t>
      </w:r>
      <w:r w:rsidRPr="00A562D2">
        <w:rPr>
          <w:rFonts w:ascii="Arial" w:hAnsi="Arial"/>
          <w:color w:val="000000" w:themeColor="text1"/>
          <w:sz w:val="16"/>
          <w:szCs w:val="16"/>
          <w:lang w:val="de-AT"/>
        </w:rPr>
        <w:t xml:space="preserve"> Mitarbeitende arbeiten in Lehre, Forschung und Verwaltung an der FHV.</w:t>
      </w:r>
    </w:p>
    <w:p w14:paraId="1E0B439C" w14:textId="77777777" w:rsidR="00A562D2" w:rsidRPr="00A562D2" w:rsidRDefault="00A562D2" w:rsidP="00F72D23">
      <w:pPr>
        <w:spacing w:line="253" w:lineRule="atLeast"/>
        <w:rPr>
          <w:rFonts w:ascii="Arial" w:hAnsi="Arial"/>
          <w:color w:val="000000" w:themeColor="text1"/>
          <w:sz w:val="16"/>
          <w:szCs w:val="16"/>
          <w:lang w:val="de-AT"/>
        </w:rPr>
      </w:pPr>
    </w:p>
    <w:p w14:paraId="36A54047" w14:textId="77777777" w:rsidR="00A562D2" w:rsidRDefault="00A562D2" w:rsidP="00F72D23">
      <w:pPr>
        <w:spacing w:line="253" w:lineRule="atLeast"/>
        <w:rPr>
          <w:rFonts w:ascii="Arial" w:hAnsi="Arial"/>
          <w:color w:val="000000"/>
          <w:sz w:val="15"/>
          <w:szCs w:val="15"/>
          <w:lang w:val="de-AT"/>
        </w:rPr>
      </w:pPr>
    </w:p>
    <w:p w14:paraId="786C68E3" w14:textId="312D6C6C"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5E4881">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364D3"/>
    <w:rsid w:val="00053421"/>
    <w:rsid w:val="000542A5"/>
    <w:rsid w:val="000644C2"/>
    <w:rsid w:val="000662A0"/>
    <w:rsid w:val="00092C7C"/>
    <w:rsid w:val="000A7C9B"/>
    <w:rsid w:val="000C0EFD"/>
    <w:rsid w:val="000C2BA6"/>
    <w:rsid w:val="000D6259"/>
    <w:rsid w:val="000D653C"/>
    <w:rsid w:val="000E0E58"/>
    <w:rsid w:val="000E658A"/>
    <w:rsid w:val="000E751B"/>
    <w:rsid w:val="000F198C"/>
    <w:rsid w:val="0010422D"/>
    <w:rsid w:val="00104A3C"/>
    <w:rsid w:val="0010609E"/>
    <w:rsid w:val="001224C0"/>
    <w:rsid w:val="001342F5"/>
    <w:rsid w:val="0013451A"/>
    <w:rsid w:val="00137363"/>
    <w:rsid w:val="00137A8D"/>
    <w:rsid w:val="00146B11"/>
    <w:rsid w:val="00152639"/>
    <w:rsid w:val="001567B0"/>
    <w:rsid w:val="00164B02"/>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5282B"/>
    <w:rsid w:val="00260B97"/>
    <w:rsid w:val="00271994"/>
    <w:rsid w:val="0027561B"/>
    <w:rsid w:val="00281FBE"/>
    <w:rsid w:val="00293857"/>
    <w:rsid w:val="002A7FA7"/>
    <w:rsid w:val="002C2A54"/>
    <w:rsid w:val="002C502E"/>
    <w:rsid w:val="00310057"/>
    <w:rsid w:val="0031384A"/>
    <w:rsid w:val="00315E27"/>
    <w:rsid w:val="0031741F"/>
    <w:rsid w:val="00343586"/>
    <w:rsid w:val="00344F7E"/>
    <w:rsid w:val="0035180D"/>
    <w:rsid w:val="00356730"/>
    <w:rsid w:val="00385BEA"/>
    <w:rsid w:val="003A144A"/>
    <w:rsid w:val="003B0FAC"/>
    <w:rsid w:val="003B35AE"/>
    <w:rsid w:val="003B35D1"/>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669F"/>
    <w:rsid w:val="00483365"/>
    <w:rsid w:val="0048617E"/>
    <w:rsid w:val="0049796D"/>
    <w:rsid w:val="004B61D7"/>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95B5D"/>
    <w:rsid w:val="005B2D6D"/>
    <w:rsid w:val="005B3EAE"/>
    <w:rsid w:val="005D11DD"/>
    <w:rsid w:val="005E20F5"/>
    <w:rsid w:val="005E4881"/>
    <w:rsid w:val="005F2719"/>
    <w:rsid w:val="006074D3"/>
    <w:rsid w:val="006205BF"/>
    <w:rsid w:val="006341C8"/>
    <w:rsid w:val="006377E9"/>
    <w:rsid w:val="00646DE7"/>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52AB5"/>
    <w:rsid w:val="0085344D"/>
    <w:rsid w:val="00854C64"/>
    <w:rsid w:val="00864C08"/>
    <w:rsid w:val="00865394"/>
    <w:rsid w:val="00866A00"/>
    <w:rsid w:val="0087698A"/>
    <w:rsid w:val="00887E98"/>
    <w:rsid w:val="00894A33"/>
    <w:rsid w:val="008A1161"/>
    <w:rsid w:val="008B221A"/>
    <w:rsid w:val="008B3A99"/>
    <w:rsid w:val="008B3AF9"/>
    <w:rsid w:val="008C3F4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D5E8B"/>
    <w:rsid w:val="009E0243"/>
    <w:rsid w:val="009E12AC"/>
    <w:rsid w:val="009E6756"/>
    <w:rsid w:val="00A03D47"/>
    <w:rsid w:val="00A06DE0"/>
    <w:rsid w:val="00A1332D"/>
    <w:rsid w:val="00A147E5"/>
    <w:rsid w:val="00A17962"/>
    <w:rsid w:val="00A23E1B"/>
    <w:rsid w:val="00A275A0"/>
    <w:rsid w:val="00A2786F"/>
    <w:rsid w:val="00A301D0"/>
    <w:rsid w:val="00A562D2"/>
    <w:rsid w:val="00A76605"/>
    <w:rsid w:val="00A82F73"/>
    <w:rsid w:val="00A9266C"/>
    <w:rsid w:val="00AB17AC"/>
    <w:rsid w:val="00AC0DCB"/>
    <w:rsid w:val="00AE0B56"/>
    <w:rsid w:val="00AF0578"/>
    <w:rsid w:val="00AF1408"/>
    <w:rsid w:val="00AF252A"/>
    <w:rsid w:val="00AF436C"/>
    <w:rsid w:val="00AF5AEA"/>
    <w:rsid w:val="00B021D3"/>
    <w:rsid w:val="00B07358"/>
    <w:rsid w:val="00B119F6"/>
    <w:rsid w:val="00B20E3A"/>
    <w:rsid w:val="00B22EC0"/>
    <w:rsid w:val="00B30CEA"/>
    <w:rsid w:val="00B31685"/>
    <w:rsid w:val="00B33B8E"/>
    <w:rsid w:val="00B4618A"/>
    <w:rsid w:val="00B46AE4"/>
    <w:rsid w:val="00B520BC"/>
    <w:rsid w:val="00B56F3E"/>
    <w:rsid w:val="00B57EC5"/>
    <w:rsid w:val="00B6195C"/>
    <w:rsid w:val="00B831C9"/>
    <w:rsid w:val="00B8585B"/>
    <w:rsid w:val="00B968C8"/>
    <w:rsid w:val="00BC6287"/>
    <w:rsid w:val="00BE2197"/>
    <w:rsid w:val="00BE4AEB"/>
    <w:rsid w:val="00BE65C4"/>
    <w:rsid w:val="00BE7B7F"/>
    <w:rsid w:val="00BF4515"/>
    <w:rsid w:val="00C1589B"/>
    <w:rsid w:val="00C27CCF"/>
    <w:rsid w:val="00C36CCF"/>
    <w:rsid w:val="00C36DE1"/>
    <w:rsid w:val="00C456FC"/>
    <w:rsid w:val="00C461C6"/>
    <w:rsid w:val="00C53D1C"/>
    <w:rsid w:val="00C578C7"/>
    <w:rsid w:val="00C85CFD"/>
    <w:rsid w:val="00C875A1"/>
    <w:rsid w:val="00C9175F"/>
    <w:rsid w:val="00C91D02"/>
    <w:rsid w:val="00CB6BCE"/>
    <w:rsid w:val="00CC11F0"/>
    <w:rsid w:val="00CE4E2A"/>
    <w:rsid w:val="00D11EF9"/>
    <w:rsid w:val="00D360F0"/>
    <w:rsid w:val="00D418B8"/>
    <w:rsid w:val="00D61D17"/>
    <w:rsid w:val="00D6513F"/>
    <w:rsid w:val="00D67C2F"/>
    <w:rsid w:val="00DC7068"/>
    <w:rsid w:val="00DD79AE"/>
    <w:rsid w:val="00DE0F59"/>
    <w:rsid w:val="00DF5EBF"/>
    <w:rsid w:val="00E0015B"/>
    <w:rsid w:val="00E11B09"/>
    <w:rsid w:val="00E17139"/>
    <w:rsid w:val="00E22D73"/>
    <w:rsid w:val="00E32343"/>
    <w:rsid w:val="00E445FB"/>
    <w:rsid w:val="00E44CB8"/>
    <w:rsid w:val="00E53DFC"/>
    <w:rsid w:val="00E71878"/>
    <w:rsid w:val="00E82166"/>
    <w:rsid w:val="00E86632"/>
    <w:rsid w:val="00E8665B"/>
    <w:rsid w:val="00E979FA"/>
    <w:rsid w:val="00EA1376"/>
    <w:rsid w:val="00EA2AEB"/>
    <w:rsid w:val="00EA311B"/>
    <w:rsid w:val="00EA7319"/>
    <w:rsid w:val="00EC2FF2"/>
    <w:rsid w:val="00EC344F"/>
    <w:rsid w:val="00EC4101"/>
    <w:rsid w:val="00ED3801"/>
    <w:rsid w:val="00ED3B8D"/>
    <w:rsid w:val="00F07199"/>
    <w:rsid w:val="00F132E2"/>
    <w:rsid w:val="00F147C1"/>
    <w:rsid w:val="00F14D84"/>
    <w:rsid w:val="00F14EA0"/>
    <w:rsid w:val="00F2448E"/>
    <w:rsid w:val="00F57EDD"/>
    <w:rsid w:val="00F61BB6"/>
    <w:rsid w:val="00F72D23"/>
    <w:rsid w:val="00F7796F"/>
    <w:rsid w:val="00F80409"/>
    <w:rsid w:val="00F8231C"/>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36049052">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68853596">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fh/die-fhv/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divers/newsle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 TargetMode="External"/><Relationship Id="rId5" Type="http://schemas.openxmlformats.org/officeDocument/2006/relationships/styles" Target="styles.xml"/><Relationship Id="rId15" Type="http://schemas.openxmlformats.org/officeDocument/2006/relationships/hyperlink" Target="https://www.fhv.at/datenschutz/" TargetMode="External"/><Relationship Id="rId10" Type="http://schemas.openxmlformats.org/officeDocument/2006/relationships/hyperlink" Target="https://www.fhv.at/fh/die-fhv/events/kopal/pal-award" TargetMode="External"/><Relationship Id="rId4" Type="http://schemas.openxmlformats.org/officeDocument/2006/relationships/numbering" Target="numbering.xml"/><Relationship Id="rId9" Type="http://schemas.openxmlformats.org/officeDocument/2006/relationships/hyperlink" Target="https://www.fhv.at/fh/die-fhv/events/kopal/pal-award" TargetMode="External"/><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8</cp:revision>
  <cp:lastPrinted>2015-05-06T14:58:00Z</cp:lastPrinted>
  <dcterms:created xsi:type="dcterms:W3CDTF">2024-03-21T09:43:00Z</dcterms:created>
  <dcterms:modified xsi:type="dcterms:W3CDTF">2024-04-04T08:39:00Z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